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0C392" w14:textId="77777777" w:rsidR="00346E89" w:rsidRDefault="00F311D5">
      <w:pPr>
        <w:ind w:right="-143" w:firstLine="567"/>
        <w:jc w:val="both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EBA9A2" w14:textId="77777777" w:rsidR="002039E9" w:rsidRDefault="002039E9" w:rsidP="002039E9">
      <w:pPr>
        <w:jc w:val="right"/>
        <w:rPr>
          <w:sz w:val="28"/>
          <w:szCs w:val="28"/>
          <w:lang w:eastAsia="ru-RU"/>
        </w:rPr>
      </w:pPr>
    </w:p>
    <w:tbl>
      <w:tblPr>
        <w:tblW w:w="94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84"/>
        <w:gridCol w:w="8021"/>
      </w:tblGrid>
      <w:tr w:rsidR="002039E9" w14:paraId="0B5C3A31" w14:textId="77777777" w:rsidTr="002039E9">
        <w:tc>
          <w:tcPr>
            <w:tcW w:w="1384" w:type="dxa"/>
            <w:hideMark/>
          </w:tcPr>
          <w:p w14:paraId="09D76D6B" w14:textId="77777777" w:rsidR="002039E9" w:rsidRDefault="002039E9" w:rsidP="002039E9">
            <w:pPr>
              <w:tabs>
                <w:tab w:val="left" w:pos="900"/>
              </w:tabs>
              <w:rPr>
                <w:i/>
                <w:sz w:val="20"/>
                <w:szCs w:val="20"/>
                <w:lang w:eastAsia="ru-RU"/>
              </w:rPr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480044D" wp14:editId="5E31CB5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1296670</wp:posOffset>
                      </wp:positionV>
                      <wp:extent cx="6010275" cy="0"/>
                      <wp:effectExtent l="0" t="38100" r="9525" b="38100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027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02.1pt" to="472.25pt,10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6qIVACAABZBAAADgAAAGRycy9lMm9Eb2MueG1srFTLbtQwFN0j8Q+W99NMpmnaRs1UaB5sClRq&#10;+QCP7UwsHNuy3cmMEBKwRuon8AssQKpU4Bsyf8S156EWNgixca597eNzzz3O2fmykWjBrRNalTg9&#10;6GPEFdVMqHmJX19PeycYOU8UI1IrXuIVd/h8+PTJWWsKPtC1loxbBCDKFa0pce29KZLE0Zo3xB1o&#10;wxUkK20b4mFq5wmzpAX0RiaDfj9PWm2ZsZpy52B1vEniYcSvKk79q6py3CNZYuDm42jjOAtjMjwj&#10;xdwSUwu6pUH+gUVDhIJL91Bj4gm6seIPqEZQq52u/AHVTaKrSlAea4Bq0v5v1VzVxPBYC4jjzF4m&#10;9/9g6cvFpUWClTjDSJEGWtR9Xr9f33bfuy/rW7T+0P3svnVfu7vuR3e3/gjx/foTxCHZ3W+Xb9Eg&#10;KNkaVwDgSF3aoAVdqitzoekbh5Qe1UTNeazoemXgmjScSB4dCRNngM+sfaEZ7CE3XkdZl5VtAiQI&#10;hpaxe6t99/jSIwqLOQg4OD7CiO5yCSl2B411/jnXDQpBiaVQQVhSkMWF84EIKXZbwrLSUyFlNIdU&#10;qC3xcQ5uiyecloKFbNjn7Hw2khYtCPjr8DDPp9NYFmQebrP6RrGIVnPCJtvYEyE3MdwuVcCDWoDP&#10;NtoY6O1p/3RyMjnJetkgn/SyPmO9Z9NR1sun6fHR+HA8Go3Td4FamhW1YIyrwG5n5jT7O7Nsn9XG&#10;hns773VIHqNHwYDs7htJx2aG/m2cMNNsdWl3TQb/xs3btxYeyMM5xA//CMNfAAAA//8DAFBLAwQU&#10;AAYACAAAACEAC7vOY98AAAAKAQAADwAAAGRycy9kb3ducmV2LnhtbEyPQUvEMBCF74L/IYzgRXYT&#10;S1e0Nl1UsOJhD65SPM42Y1u3mZQm3a3/3giCHt+8x5vv5evZ9uJAo+8ca7hcKhDEtTMdNxreXh8X&#10;1yB8QDbYOyYNX+RhXZye5JgZd+QXOmxDI2IJ+ww1tCEMmZS+bsmiX7qBOHofbrQYohwbaUY8xnLb&#10;y0SpK2mx4/ihxYEeWqr328lquCirp8p+Pr9Xm7K83/NqKlVFWp+fzXe3IALN4S8MP/gRHYrItHMT&#10;Gy96DYskTgkaEpUmIGLgJk1XIHa/F1nk8v+E4hsAAP//AwBQSwECLQAUAAYACAAAACEA5JnDwPsA&#10;AADhAQAAEwAAAAAAAAAAAAAAAAAAAAAAW0NvbnRlbnRfVHlwZXNdLnhtbFBLAQItABQABgAIAAAA&#10;IQAjsmrh1wAAAJQBAAALAAAAAAAAAAAAAAAAACwBAABfcmVscy8ucmVsc1BLAQItABQABgAIAAAA&#10;IQAabqohUAIAAFkEAAAOAAAAAAAAAAAAAAAAACwCAABkcnMvZTJvRG9jLnhtbFBLAQItABQABgAI&#10;AAAAIQALu85j3wAAAAoBAAAPAAAAAAAAAAAAAAAAAKgEAABkcnMvZG93bnJldi54bWxQSwUGAAAA&#10;AAQABADzAAAAtAUAAAAA&#10;" o:allowincell="f" strokecolor="#36f" strokeweight="6pt"/>
                  </w:pict>
                </mc:Fallback>
              </mc:AlternateContent>
            </w:r>
            <w:r>
              <w:rPr>
                <w:noProof/>
                <w:sz w:val="28"/>
                <w:lang w:val="en-US" w:eastAsia="ru-RU"/>
              </w:rPr>
              <w:drawing>
                <wp:inline distT="0" distB="0" distL="0" distR="0" wp14:anchorId="3753EDB4" wp14:editId="29D2E557">
                  <wp:extent cx="781050" cy="952500"/>
                  <wp:effectExtent l="0" t="0" r="0" b="0"/>
                  <wp:docPr id="3" name="Рисунок 5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1" w:type="dxa"/>
            <w:hideMark/>
          </w:tcPr>
          <w:p w14:paraId="288D52E0" w14:textId="77777777" w:rsidR="002039E9" w:rsidRPr="00CC7005" w:rsidRDefault="002039E9" w:rsidP="002039E9">
            <w:pPr>
              <w:keepNext/>
              <w:tabs>
                <w:tab w:val="left" w:pos="900"/>
              </w:tabs>
              <w:jc w:val="center"/>
              <w:outlineLvl w:val="0"/>
              <w:rPr>
                <w:sz w:val="28"/>
                <w:szCs w:val="20"/>
                <w:lang w:eastAsia="ru-RU"/>
              </w:rPr>
            </w:pPr>
            <w:r w:rsidRPr="00CC7005">
              <w:rPr>
                <w:sz w:val="28"/>
                <w:szCs w:val="20"/>
                <w:lang w:eastAsia="ru-RU"/>
              </w:rPr>
              <w:t>РОССИЙСКАЯ ФЕДЕРАЦИЯ</w:t>
            </w:r>
          </w:p>
          <w:p w14:paraId="50B12D45" w14:textId="77777777" w:rsidR="002039E9" w:rsidRPr="00CC7005" w:rsidRDefault="002039E9" w:rsidP="002039E9">
            <w:pPr>
              <w:keepNext/>
              <w:tabs>
                <w:tab w:val="left" w:pos="900"/>
              </w:tabs>
              <w:jc w:val="center"/>
              <w:outlineLvl w:val="0"/>
              <w:rPr>
                <w:b/>
                <w:caps/>
                <w:sz w:val="28"/>
                <w:szCs w:val="20"/>
                <w:lang w:eastAsia="ru-RU"/>
              </w:rPr>
            </w:pPr>
            <w:r w:rsidRPr="00CC7005">
              <w:rPr>
                <w:sz w:val="28"/>
                <w:szCs w:val="20"/>
                <w:lang w:eastAsia="ru-RU"/>
              </w:rPr>
              <w:t>КАЛИНИНГРАДСКАЯ ОБЛАСТЬ</w:t>
            </w:r>
          </w:p>
          <w:p w14:paraId="38229E5D" w14:textId="77777777" w:rsidR="002039E9" w:rsidRPr="00CC7005" w:rsidRDefault="002039E9" w:rsidP="002039E9">
            <w:pPr>
              <w:keepNext/>
              <w:tabs>
                <w:tab w:val="left" w:pos="900"/>
              </w:tabs>
              <w:jc w:val="center"/>
              <w:outlineLvl w:val="0"/>
              <w:rPr>
                <w:b/>
                <w:caps/>
                <w:sz w:val="28"/>
                <w:szCs w:val="20"/>
                <w:lang w:eastAsia="ru-RU"/>
              </w:rPr>
            </w:pPr>
            <w:r w:rsidRPr="00CC7005">
              <w:rPr>
                <w:b/>
                <w:caps/>
                <w:sz w:val="28"/>
                <w:szCs w:val="20"/>
                <w:lang w:eastAsia="ru-RU"/>
              </w:rPr>
              <w:t>ОКРУЖНОЙ СОВЕТ   ДЕПУТАТОВ</w:t>
            </w:r>
          </w:p>
          <w:p w14:paraId="232217A6" w14:textId="77777777" w:rsidR="002039E9" w:rsidRPr="00CC7005" w:rsidRDefault="002039E9" w:rsidP="002039E9">
            <w:pPr>
              <w:tabs>
                <w:tab w:val="left" w:pos="900"/>
              </w:tabs>
              <w:jc w:val="center"/>
              <w:rPr>
                <w:b/>
                <w:sz w:val="28"/>
                <w:lang w:eastAsia="ru-RU"/>
              </w:rPr>
            </w:pPr>
            <w:r w:rsidRPr="00CC7005">
              <w:rPr>
                <w:b/>
                <w:sz w:val="28"/>
                <w:lang w:eastAsia="ru-RU"/>
              </w:rPr>
              <w:t>МУНИЦИПАЛЬНОГО   ОБРАЗОВАНИЯ</w:t>
            </w:r>
          </w:p>
          <w:p w14:paraId="6DF2082E" w14:textId="77777777" w:rsidR="002039E9" w:rsidRDefault="002039E9" w:rsidP="002039E9">
            <w:pPr>
              <w:tabs>
                <w:tab w:val="left" w:pos="900"/>
              </w:tabs>
              <w:jc w:val="center"/>
              <w:rPr>
                <w:b/>
                <w:sz w:val="28"/>
                <w:szCs w:val="20"/>
                <w:lang w:eastAsia="ru-RU"/>
              </w:rPr>
            </w:pPr>
            <w:r w:rsidRPr="00CC7005">
              <w:rPr>
                <w:b/>
                <w:caps/>
                <w:sz w:val="28"/>
                <w:lang w:eastAsia="ru-RU"/>
              </w:rPr>
              <w:t>«ЗеленоградскИЙ ГОРОДСКОЙ ОКРУГ</w:t>
            </w:r>
          </w:p>
          <w:p w14:paraId="7930B47C" w14:textId="77777777" w:rsidR="002039E9" w:rsidRPr="00D07396" w:rsidRDefault="002039E9" w:rsidP="002039E9">
            <w:pPr>
              <w:tabs>
                <w:tab w:val="left" w:pos="900"/>
              </w:tabs>
              <w:jc w:val="center"/>
              <w:rPr>
                <w:b/>
                <w:sz w:val="28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КОНТРОЛЬНО-СЧЕТНАЯ КОМИССИЯ</w:t>
            </w:r>
          </w:p>
          <w:p w14:paraId="5C88E8EA" w14:textId="77777777" w:rsidR="002039E9" w:rsidRPr="005D4B9E" w:rsidRDefault="002039E9" w:rsidP="002039E9">
            <w:pPr>
              <w:ind w:left="-216" w:right="-342"/>
              <w:jc w:val="center"/>
              <w:rPr>
                <w:lang w:eastAsia="ru-RU"/>
              </w:rPr>
            </w:pPr>
          </w:p>
        </w:tc>
      </w:tr>
    </w:tbl>
    <w:p w14:paraId="6C3133D4" w14:textId="77777777" w:rsidR="001A50AD" w:rsidRPr="001A50AD" w:rsidRDefault="001A50AD" w:rsidP="001A50AD">
      <w:pPr>
        <w:tabs>
          <w:tab w:val="left" w:pos="900"/>
        </w:tabs>
        <w:jc w:val="right"/>
        <w:rPr>
          <w:b/>
          <w:lang w:eastAsia="ru-RU"/>
        </w:rPr>
      </w:pPr>
    </w:p>
    <w:p w14:paraId="369E378A" w14:textId="77777777" w:rsidR="00877011" w:rsidRDefault="00877011">
      <w:pPr>
        <w:ind w:right="-143"/>
        <w:jc w:val="center"/>
        <w:rPr>
          <w:b/>
        </w:rPr>
      </w:pPr>
    </w:p>
    <w:p w14:paraId="6EC575C8" w14:textId="77777777" w:rsidR="00346E89" w:rsidRDefault="00F311D5">
      <w:pPr>
        <w:ind w:right="-143"/>
        <w:jc w:val="center"/>
        <w:rPr>
          <w:b/>
        </w:rPr>
      </w:pPr>
      <w:r>
        <w:rPr>
          <w:b/>
        </w:rPr>
        <w:t>З А К Л Ю Ч Е Н И Е</w:t>
      </w:r>
    </w:p>
    <w:p w14:paraId="284472E4" w14:textId="77777777" w:rsidR="00346E89" w:rsidRDefault="00F311D5">
      <w:pPr>
        <w:spacing w:before="280" w:after="119"/>
        <w:ind w:right="-143"/>
        <w:jc w:val="both"/>
      </w:pPr>
      <w:r>
        <w:rPr>
          <w:b/>
        </w:rPr>
        <w:t xml:space="preserve">контрольно-счетной </w:t>
      </w:r>
      <w:r w:rsidR="001A50AD">
        <w:rPr>
          <w:b/>
        </w:rPr>
        <w:t>комиссии</w:t>
      </w:r>
      <w:r>
        <w:rPr>
          <w:b/>
        </w:rPr>
        <w:t xml:space="preserve"> муниципального образования «</w:t>
      </w:r>
      <w:r w:rsidR="001A50AD">
        <w:rPr>
          <w:b/>
        </w:rPr>
        <w:t xml:space="preserve">Зеленоградский </w:t>
      </w:r>
      <w:r>
        <w:rPr>
          <w:b/>
        </w:rPr>
        <w:t xml:space="preserve"> городской округ» на проект решения </w:t>
      </w:r>
      <w:r w:rsidR="001A50AD">
        <w:rPr>
          <w:b/>
        </w:rPr>
        <w:t xml:space="preserve">окружного </w:t>
      </w:r>
      <w:r>
        <w:rPr>
          <w:b/>
        </w:rPr>
        <w:t>Совета депутатов муниципального образования «</w:t>
      </w:r>
      <w:r w:rsidR="001A50AD">
        <w:rPr>
          <w:b/>
        </w:rPr>
        <w:t>Зеленоград</w:t>
      </w:r>
      <w:r>
        <w:rPr>
          <w:b/>
        </w:rPr>
        <w:t>ский городской округ» «О согласовании замены дотации на выравнивание бюджетн</w:t>
      </w:r>
      <w:r w:rsidR="007B0A09">
        <w:rPr>
          <w:b/>
        </w:rPr>
        <w:t>ой обеспеченности муниципального образования</w:t>
      </w:r>
      <w:r>
        <w:rPr>
          <w:b/>
        </w:rPr>
        <w:t xml:space="preserve"> «</w:t>
      </w:r>
      <w:r w:rsidR="001A50AD">
        <w:rPr>
          <w:b/>
        </w:rPr>
        <w:t>Зеленоград</w:t>
      </w:r>
      <w:r>
        <w:rPr>
          <w:b/>
        </w:rPr>
        <w:t>ский городской округ»</w:t>
      </w:r>
      <w:r w:rsidR="00133690">
        <w:rPr>
          <w:b/>
        </w:rPr>
        <w:t xml:space="preserve"> из областного бюджета</w:t>
      </w:r>
      <w:r>
        <w:rPr>
          <w:b/>
        </w:rPr>
        <w:t xml:space="preserve"> дополнительным нормативом отчислений в бюджет муниципального образования «</w:t>
      </w:r>
      <w:r w:rsidR="001A50AD">
        <w:rPr>
          <w:b/>
        </w:rPr>
        <w:t>Зеленоград</w:t>
      </w:r>
      <w:r>
        <w:rPr>
          <w:b/>
        </w:rPr>
        <w:t>ский городской округ» от налога на доходы физических лиц</w:t>
      </w:r>
      <w:r w:rsidR="007B0A09">
        <w:rPr>
          <w:b/>
        </w:rPr>
        <w:t xml:space="preserve"> на 2021 год</w:t>
      </w:r>
      <w:r>
        <w:rPr>
          <w:b/>
        </w:rPr>
        <w:t xml:space="preserve">». </w:t>
      </w:r>
    </w:p>
    <w:p w14:paraId="64F86AC5" w14:textId="77777777" w:rsidR="00346E89" w:rsidRDefault="001A50AD">
      <w:pPr>
        <w:spacing w:before="280"/>
        <w:ind w:right="-143"/>
        <w:jc w:val="both"/>
      </w:pPr>
      <w:r>
        <w:t>«8» октября 2018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11D5">
        <w:tab/>
        <w:t xml:space="preserve">     г. </w:t>
      </w:r>
      <w:r>
        <w:t>Зеленоградск</w:t>
      </w:r>
    </w:p>
    <w:p w14:paraId="2924EE85" w14:textId="77777777" w:rsidR="00346E89" w:rsidRDefault="00346E89">
      <w:pPr>
        <w:ind w:right="-143" w:firstLine="567"/>
        <w:rPr>
          <w:sz w:val="28"/>
          <w:szCs w:val="28"/>
        </w:rPr>
      </w:pPr>
    </w:p>
    <w:p w14:paraId="08DF2DD3" w14:textId="77777777" w:rsidR="00346E89" w:rsidRDefault="00F311D5">
      <w:pPr>
        <w:ind w:right="-143" w:firstLine="567"/>
        <w:jc w:val="both"/>
      </w:pPr>
      <w:r>
        <w:t xml:space="preserve">Контрольно-счетная </w:t>
      </w:r>
      <w:r w:rsidR="001A50AD">
        <w:t>комиссия</w:t>
      </w:r>
      <w:r>
        <w:t xml:space="preserve"> муниципального образования «</w:t>
      </w:r>
      <w:r w:rsidR="001A50AD">
        <w:t>Зеленоград</w:t>
      </w:r>
      <w:r>
        <w:t xml:space="preserve">ский городской округ» рассмотрев проект решения </w:t>
      </w:r>
      <w:r w:rsidR="001A50AD">
        <w:t xml:space="preserve">окружного </w:t>
      </w:r>
      <w:r>
        <w:t>Совета депутатов МО «</w:t>
      </w:r>
      <w:r w:rsidR="001A50AD">
        <w:t>Зеленоград</w:t>
      </w:r>
      <w:r>
        <w:t>ский городской округ»  «</w:t>
      </w:r>
      <w:r w:rsidR="007B0A09" w:rsidRPr="007B0A09">
        <w:t>О согласовании замены дотации на выравнивание бюджетной обеспеченности муниципального образования «Зеленоградский городской округ» из областного бюджета  дополнительным нормативом отчислений в бюджет муниципального образования «Зеленоградский городской округ» от налога на дох</w:t>
      </w:r>
      <w:r w:rsidR="007B0A09">
        <w:t>оды физических лиц на 2021 год</w:t>
      </w:r>
      <w:r>
        <w:t>» представляет следующее заключение.</w:t>
      </w:r>
    </w:p>
    <w:p w14:paraId="74EDB265" w14:textId="77777777" w:rsidR="00346E89" w:rsidRDefault="00F311D5">
      <w:pPr>
        <w:spacing w:after="1" w:line="240" w:lineRule="atLeast"/>
        <w:ind w:firstLine="540"/>
        <w:jc w:val="both"/>
        <w:outlineLvl w:val="0"/>
      </w:pPr>
      <w:r>
        <w:t>Согласно п. 1 статьи 138 Бюджетного Кодекса РФ дотации на выравнивание бюджетной обеспеченности городских округов предусматриваются в бюджете субъекта Российской Федерации в целях выравнивания бюджетной обеспеченности городских округов.</w:t>
      </w:r>
    </w:p>
    <w:p w14:paraId="5DE1B61D" w14:textId="77777777" w:rsidR="00346E89" w:rsidRDefault="00F311D5">
      <w:pPr>
        <w:spacing w:after="1" w:line="240" w:lineRule="atLeast"/>
        <w:ind w:firstLine="540"/>
        <w:jc w:val="both"/>
        <w:outlineLvl w:val="0"/>
      </w:pPr>
      <w:r>
        <w:t>Согласно п. 2 статьи 138 Бюджетного Кодекса РФ объем дотаций на выравнивание бюджетной обеспеченности городских округов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городских округов, установленного законом субъекта Российской Федерации о бюджете субъекта Российской Федерации на очередной финансовый год и плановый период.</w:t>
      </w:r>
    </w:p>
    <w:p w14:paraId="37146641" w14:textId="77777777" w:rsidR="00346E89" w:rsidRDefault="00F311D5">
      <w:pPr>
        <w:spacing w:after="1" w:line="240" w:lineRule="atLeast"/>
        <w:ind w:firstLine="540"/>
        <w:jc w:val="both"/>
      </w:pPr>
      <w:r>
        <w:t>Согласно п. 5 статьи 138 Бюджетного Кодекса РФ при составлении и (или)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городских округов могут быть полностью или частично заменены дополнительными нормативами отчислений в бюджеты городских округов от налога на доходы физических лиц.</w:t>
      </w:r>
    </w:p>
    <w:p w14:paraId="24A39EC9" w14:textId="77777777" w:rsidR="00133690" w:rsidRPr="00515D51" w:rsidRDefault="00133690" w:rsidP="00133690">
      <w:pPr>
        <w:spacing w:after="1" w:line="240" w:lineRule="atLeast"/>
        <w:ind w:firstLine="540"/>
        <w:jc w:val="both"/>
        <w:outlineLvl w:val="0"/>
      </w:pPr>
      <w:r w:rsidRPr="00515D51">
        <w:t>Тождественная норма установлена п. 1 статьи 5 Закона Калининградской области</w:t>
      </w:r>
      <w:r w:rsidR="002039E9">
        <w:t xml:space="preserve"> от 22.10.2012 г.</w:t>
      </w:r>
      <w:r w:rsidRPr="00515D51">
        <w:t xml:space="preserve"> № 148 «О межбюджетных отношениях», а именно: Дотации на выравнивание бюджетной обеспеченности поселений и дотации на выравнивание бюджетной обеспеченности муниципальных районов (городских округов) могут быть полностью или частично заменены дополнительными нормативами отчислений от налога на доходы физических лиц в местные бюджеты по согласованию с представительными органами муниципальных образований.</w:t>
      </w:r>
    </w:p>
    <w:p w14:paraId="340F5053" w14:textId="77777777" w:rsidR="00133690" w:rsidRDefault="00133690">
      <w:pPr>
        <w:spacing w:after="1" w:line="240" w:lineRule="atLeast"/>
        <w:ind w:firstLine="540"/>
        <w:jc w:val="both"/>
      </w:pPr>
    </w:p>
    <w:p w14:paraId="4A8948AF" w14:textId="77777777" w:rsidR="00346E89" w:rsidRDefault="00F311D5">
      <w:pPr>
        <w:spacing w:after="1" w:line="240" w:lineRule="atLeast"/>
        <w:ind w:firstLine="540"/>
        <w:jc w:val="both"/>
      </w:pPr>
      <w:r>
        <w:lastRenderedPageBreak/>
        <w:t xml:space="preserve">Дополнительные нормативы отчислений от налога на доходы физических лиц устанавливаются на срок не менее трех лет. </w:t>
      </w:r>
    </w:p>
    <w:p w14:paraId="0FB634D3" w14:textId="77777777" w:rsidR="00346E89" w:rsidRDefault="00F311D5">
      <w:pPr>
        <w:spacing w:after="1" w:line="240" w:lineRule="atLeast"/>
        <w:ind w:firstLine="540"/>
        <w:jc w:val="both"/>
      </w:pPr>
      <w:r>
        <w:t xml:space="preserve">На сайте Министерства финансов Калининградской области  </w:t>
      </w:r>
      <w:hyperlink r:id="rId9">
        <w:r>
          <w:rPr>
            <w:rStyle w:val="InternetLink"/>
            <w:lang w:val="en-US"/>
          </w:rPr>
          <w:t>www</w:t>
        </w:r>
        <w:r>
          <w:rPr>
            <w:rStyle w:val="InternetLink"/>
          </w:rPr>
          <w:t>.</w:t>
        </w:r>
        <w:proofErr w:type="spellStart"/>
        <w:r>
          <w:rPr>
            <w:rStyle w:val="InternetLink"/>
            <w:lang w:val="en-US"/>
          </w:rPr>
          <w:t>minfin</w:t>
        </w:r>
        <w:proofErr w:type="spellEnd"/>
        <w:r>
          <w:rPr>
            <w:rStyle w:val="InternetLink"/>
          </w:rPr>
          <w:t>39.</w:t>
        </w:r>
        <w:proofErr w:type="spellStart"/>
        <w:r>
          <w:rPr>
            <w:rStyle w:val="InternetLink"/>
            <w:lang w:val="en-US"/>
          </w:rPr>
          <w:t>ru</w:t>
        </w:r>
        <w:proofErr w:type="spellEnd"/>
      </w:hyperlink>
      <w:r>
        <w:t xml:space="preserve"> размещены данные для замены дотаций на выравнивание бюджетной обеспеченности на дополнительные нормативы по налогу на доходы физических лиц на </w:t>
      </w:r>
      <w:r w:rsidR="00877011">
        <w:t>2021</w:t>
      </w:r>
      <w:r>
        <w:t>г.</w:t>
      </w:r>
    </w:p>
    <w:tbl>
      <w:tblPr>
        <w:tblpPr w:leftFromText="180" w:rightFromText="180" w:vertAnchor="text" w:tblpY="1"/>
        <w:tblOverlap w:val="never"/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0"/>
        <w:gridCol w:w="1892"/>
        <w:gridCol w:w="1843"/>
      </w:tblGrid>
      <w:tr w:rsidR="00877011" w14:paraId="33A80EB9" w14:textId="77777777" w:rsidTr="001A42CC">
        <w:trPr>
          <w:trHeight w:val="1470"/>
        </w:trPr>
        <w:tc>
          <w:tcPr>
            <w:tcW w:w="8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52E8F" w14:textId="77777777" w:rsidR="00877011" w:rsidRDefault="00877011" w:rsidP="009C3CD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!A1:C26"/>
            <w:r>
              <w:rPr>
                <w:b/>
                <w:bCs/>
                <w:sz w:val="28"/>
                <w:szCs w:val="28"/>
              </w:rPr>
              <w:t>Данные для замены дотаций на выравнивание бюджетной обеспеченности на дополнительные нормативы по налогу на доходы физических лиц на 2021 г.</w:t>
            </w:r>
            <w:bookmarkEnd w:id="1"/>
          </w:p>
        </w:tc>
      </w:tr>
      <w:tr w:rsidR="00877011" w14:paraId="2597CE5F" w14:textId="77777777" w:rsidTr="001A42CC">
        <w:trPr>
          <w:trHeight w:val="375"/>
        </w:trPr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A2D4" w14:textId="77777777" w:rsidR="00877011" w:rsidRDefault="00877011" w:rsidP="00B04168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6DC5" w14:textId="77777777" w:rsidR="00877011" w:rsidRDefault="00877011" w:rsidP="00B04168">
            <w:pPr>
              <w:jc w:val="center"/>
            </w:pPr>
            <w:r>
              <w:t>Замена дотаций на 2021 год</w:t>
            </w:r>
          </w:p>
        </w:tc>
      </w:tr>
      <w:tr w:rsidR="00877011" w:rsidRPr="00B04168" w14:paraId="70DFFD98" w14:textId="77777777" w:rsidTr="001A42CC">
        <w:trPr>
          <w:trHeight w:val="1248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E801" w14:textId="77777777" w:rsidR="00877011" w:rsidRDefault="00877011" w:rsidP="00B04168"/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51DE" w14:textId="77777777" w:rsidR="00877011" w:rsidRDefault="00877011" w:rsidP="00B04168">
            <w:pPr>
              <w:jc w:val="center"/>
            </w:pPr>
            <w:r>
              <w:t xml:space="preserve">Максимальный </w:t>
            </w:r>
            <w:proofErr w:type="spellStart"/>
            <w:r>
              <w:t>доп.норматив</w:t>
            </w:r>
            <w:proofErr w:type="spellEnd"/>
            <w:r>
              <w:t xml:space="preserve"> по НДФЛ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93E1" w14:textId="77777777" w:rsidR="00877011" w:rsidRDefault="00877011" w:rsidP="00B04168">
            <w:pPr>
              <w:jc w:val="center"/>
            </w:pPr>
            <w:r>
              <w:t xml:space="preserve">Дотация для замены на </w:t>
            </w:r>
            <w:proofErr w:type="spellStart"/>
            <w:r>
              <w:t>доп.норматив</w:t>
            </w:r>
            <w:proofErr w:type="spellEnd"/>
            <w:r>
              <w:t xml:space="preserve"> (</w:t>
            </w:r>
            <w:proofErr w:type="spellStart"/>
            <w:r>
              <w:t>тыс.рублей</w:t>
            </w:r>
            <w:proofErr w:type="spellEnd"/>
            <w:r>
              <w:t>)</w:t>
            </w:r>
          </w:p>
        </w:tc>
      </w:tr>
      <w:tr w:rsidR="00877011" w14:paraId="4B109324" w14:textId="77777777" w:rsidTr="001A42CC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AEC5" w14:textId="77777777" w:rsidR="00877011" w:rsidRDefault="00877011" w:rsidP="00B0416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B3D5" w14:textId="77777777" w:rsidR="00877011" w:rsidRDefault="00877011" w:rsidP="00B0416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93F3" w14:textId="77777777" w:rsidR="00877011" w:rsidRDefault="00877011" w:rsidP="00B0416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877011" w:rsidRPr="00B04168" w14:paraId="177BDE1D" w14:textId="77777777" w:rsidTr="001A42CC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98F4" w14:textId="77777777" w:rsidR="00877011" w:rsidRDefault="00877011" w:rsidP="00B04168">
            <w:r>
              <w:t xml:space="preserve">Багратионовский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B06A" w14:textId="77777777" w:rsidR="00877011" w:rsidRPr="00B04168" w:rsidRDefault="00877011" w:rsidP="001A42CC">
            <w:pPr>
              <w:tabs>
                <w:tab w:val="left" w:pos="5954"/>
              </w:tabs>
              <w:jc w:val="right"/>
            </w:pPr>
            <w:r w:rsidRPr="00B04168">
              <w:t>44,0%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5C24E" w14:textId="77777777" w:rsidR="00877011" w:rsidRPr="00B04168" w:rsidRDefault="00877011" w:rsidP="001A42CC">
            <w:pPr>
              <w:tabs>
                <w:tab w:val="left" w:pos="5954"/>
              </w:tabs>
              <w:jc w:val="right"/>
            </w:pPr>
            <w:r w:rsidRPr="00B04168">
              <w:t>185 078</w:t>
            </w:r>
          </w:p>
        </w:tc>
      </w:tr>
      <w:tr w:rsidR="00877011" w:rsidRPr="00B04168" w14:paraId="5F3672FC" w14:textId="77777777" w:rsidTr="001A42CC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C5B9" w14:textId="77777777" w:rsidR="00877011" w:rsidRDefault="00877011" w:rsidP="00B04168">
            <w:r>
              <w:t xml:space="preserve">Балтийский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1ECC1" w14:textId="77777777" w:rsidR="00877011" w:rsidRPr="00B04168" w:rsidRDefault="00877011" w:rsidP="001A42CC">
            <w:pPr>
              <w:tabs>
                <w:tab w:val="left" w:pos="5954"/>
              </w:tabs>
              <w:jc w:val="right"/>
            </w:pPr>
            <w:r w:rsidRPr="00B04168">
              <w:t>17,0%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4517A" w14:textId="77777777" w:rsidR="00877011" w:rsidRPr="00B04168" w:rsidRDefault="00877011" w:rsidP="001A42CC">
            <w:pPr>
              <w:tabs>
                <w:tab w:val="left" w:pos="5954"/>
              </w:tabs>
              <w:jc w:val="right"/>
            </w:pPr>
            <w:r w:rsidRPr="00B04168">
              <w:t>131 831</w:t>
            </w:r>
          </w:p>
        </w:tc>
      </w:tr>
      <w:tr w:rsidR="00877011" w:rsidRPr="00B04168" w14:paraId="5E18825C" w14:textId="77777777" w:rsidTr="001A42CC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2894" w14:textId="77777777" w:rsidR="00877011" w:rsidRPr="00B04168" w:rsidRDefault="00877011" w:rsidP="00B04168">
            <w:r>
              <w:t xml:space="preserve">Гвардейский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F9959" w14:textId="77777777" w:rsidR="00877011" w:rsidRPr="00B04168" w:rsidRDefault="00877011" w:rsidP="001A42CC">
            <w:pPr>
              <w:tabs>
                <w:tab w:val="left" w:pos="5954"/>
              </w:tabs>
              <w:jc w:val="right"/>
            </w:pPr>
            <w:r w:rsidRPr="00B04168">
              <w:t>45,0%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AAE2C" w14:textId="77777777" w:rsidR="00877011" w:rsidRPr="00B04168" w:rsidRDefault="00877011" w:rsidP="001A42CC">
            <w:pPr>
              <w:tabs>
                <w:tab w:val="left" w:pos="5954"/>
              </w:tabs>
              <w:jc w:val="right"/>
            </w:pPr>
            <w:r w:rsidRPr="00B04168">
              <w:t>156 692</w:t>
            </w:r>
          </w:p>
        </w:tc>
      </w:tr>
      <w:tr w:rsidR="00877011" w:rsidRPr="00B04168" w14:paraId="17B97256" w14:textId="77777777" w:rsidTr="001A42CC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DBFC" w14:textId="77777777" w:rsidR="00877011" w:rsidRPr="00B04168" w:rsidRDefault="00877011" w:rsidP="00B04168">
            <w:pPr>
              <w:ind w:right="-143"/>
              <w:rPr>
                <w:sz w:val="20"/>
                <w:szCs w:val="20"/>
              </w:rPr>
            </w:pPr>
            <w:proofErr w:type="spellStart"/>
            <w:r w:rsidRPr="00B04168">
              <w:rPr>
                <w:sz w:val="20"/>
                <w:szCs w:val="20"/>
              </w:rPr>
              <w:t>Гурьевский</w:t>
            </w:r>
            <w:proofErr w:type="spellEnd"/>
            <w:r w:rsidRPr="00B04168">
              <w:rPr>
                <w:sz w:val="20"/>
                <w:szCs w:val="20"/>
              </w:rPr>
              <w:t xml:space="preserve">  </w:t>
            </w:r>
            <w:proofErr w:type="spellStart"/>
            <w:r w:rsidRPr="00B04168">
              <w:rPr>
                <w:sz w:val="20"/>
                <w:szCs w:val="20"/>
              </w:rPr>
              <w:t>г.о</w:t>
            </w:r>
            <w:proofErr w:type="spellEnd"/>
            <w:r w:rsidRPr="00B04168">
              <w:rPr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D4735" w14:textId="77777777" w:rsidR="00877011" w:rsidRPr="00B04168" w:rsidRDefault="00877011" w:rsidP="001A42CC">
            <w:pPr>
              <w:tabs>
                <w:tab w:val="left" w:pos="5954"/>
              </w:tabs>
              <w:ind w:right="-143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16,0%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1B56A" w14:textId="77777777" w:rsidR="00877011" w:rsidRPr="00B04168" w:rsidRDefault="00877011" w:rsidP="001A42CC">
            <w:pPr>
              <w:tabs>
                <w:tab w:val="left" w:pos="5954"/>
              </w:tabs>
              <w:ind w:right="25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182 187</w:t>
            </w:r>
          </w:p>
        </w:tc>
      </w:tr>
      <w:tr w:rsidR="00877011" w:rsidRPr="00B04168" w14:paraId="0176C81F" w14:textId="77777777" w:rsidTr="001A42CC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0404" w14:textId="77777777" w:rsidR="00877011" w:rsidRPr="00B04168" w:rsidRDefault="00877011" w:rsidP="00B04168">
            <w:pPr>
              <w:ind w:right="-143"/>
              <w:rPr>
                <w:sz w:val="20"/>
                <w:szCs w:val="20"/>
              </w:rPr>
            </w:pPr>
            <w:proofErr w:type="spellStart"/>
            <w:r w:rsidRPr="00B04168">
              <w:rPr>
                <w:sz w:val="20"/>
                <w:szCs w:val="20"/>
              </w:rPr>
              <w:t>Гусевский</w:t>
            </w:r>
            <w:proofErr w:type="spellEnd"/>
            <w:r w:rsidRPr="00B04168">
              <w:rPr>
                <w:sz w:val="20"/>
                <w:szCs w:val="20"/>
              </w:rPr>
              <w:t xml:space="preserve"> </w:t>
            </w:r>
            <w:proofErr w:type="spellStart"/>
            <w:r w:rsidRPr="00B04168">
              <w:rPr>
                <w:sz w:val="20"/>
                <w:szCs w:val="20"/>
              </w:rPr>
              <w:t>г.о</w:t>
            </w:r>
            <w:proofErr w:type="spellEnd"/>
            <w:r w:rsidRPr="00B04168">
              <w:rPr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ADED3" w14:textId="77777777" w:rsidR="00877011" w:rsidRPr="00B04168" w:rsidRDefault="00877011" w:rsidP="001A42CC">
            <w:pPr>
              <w:tabs>
                <w:tab w:val="left" w:pos="5954"/>
              </w:tabs>
              <w:ind w:right="-143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49,0%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32888" w14:textId="77777777" w:rsidR="00877011" w:rsidRPr="00B04168" w:rsidRDefault="00877011" w:rsidP="001A42CC">
            <w:pPr>
              <w:tabs>
                <w:tab w:val="left" w:pos="5954"/>
              </w:tabs>
              <w:ind w:right="25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201 249</w:t>
            </w:r>
          </w:p>
        </w:tc>
      </w:tr>
      <w:tr w:rsidR="00877011" w:rsidRPr="00B04168" w14:paraId="3AC68954" w14:textId="77777777" w:rsidTr="001A42CC">
        <w:trPr>
          <w:trHeight w:val="31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14:paraId="44E7F127" w14:textId="77777777" w:rsidR="00877011" w:rsidRPr="001A42CC" w:rsidRDefault="00877011" w:rsidP="00B04168">
            <w:pPr>
              <w:ind w:right="-143"/>
              <w:rPr>
                <w:b/>
              </w:rPr>
            </w:pPr>
            <w:r w:rsidRPr="001A42CC">
              <w:rPr>
                <w:b/>
              </w:rPr>
              <w:t xml:space="preserve">Зеленоградский  </w:t>
            </w:r>
            <w:proofErr w:type="spellStart"/>
            <w:r w:rsidRPr="001A42CC">
              <w:rPr>
                <w:b/>
              </w:rPr>
              <w:t>г.о</w:t>
            </w:r>
            <w:proofErr w:type="spellEnd"/>
            <w:r w:rsidRPr="001A42CC">
              <w:rPr>
                <w:b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11B3F3C" w14:textId="77777777" w:rsidR="00877011" w:rsidRPr="001A42CC" w:rsidRDefault="001A42CC" w:rsidP="001A42CC">
            <w:pPr>
              <w:tabs>
                <w:tab w:val="left" w:pos="5954"/>
              </w:tabs>
              <w:ind w:right="-143" w:firstLine="567"/>
              <w:jc w:val="center"/>
              <w:rPr>
                <w:b/>
              </w:rPr>
            </w:pPr>
            <w:r w:rsidRPr="001A42CC">
              <w:rPr>
                <w:b/>
              </w:rPr>
              <w:t xml:space="preserve">      </w:t>
            </w:r>
            <w:r w:rsidR="00877011" w:rsidRPr="001A42CC">
              <w:rPr>
                <w:b/>
              </w:rPr>
              <w:t>22,0%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D55AC79" w14:textId="77777777" w:rsidR="00877011" w:rsidRPr="001A42CC" w:rsidRDefault="00877011" w:rsidP="001A42CC">
            <w:pPr>
              <w:tabs>
                <w:tab w:val="left" w:pos="5954"/>
              </w:tabs>
              <w:ind w:right="25" w:firstLine="567"/>
              <w:jc w:val="right"/>
              <w:rPr>
                <w:b/>
              </w:rPr>
            </w:pPr>
            <w:r w:rsidRPr="001A42CC">
              <w:rPr>
                <w:b/>
              </w:rPr>
              <w:t>121 333</w:t>
            </w:r>
          </w:p>
        </w:tc>
      </w:tr>
      <w:tr w:rsidR="00877011" w:rsidRPr="00B04168" w14:paraId="0516EC77" w14:textId="77777777" w:rsidTr="001A42CC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4084" w14:textId="77777777" w:rsidR="00877011" w:rsidRPr="00B04168" w:rsidRDefault="00877011" w:rsidP="00B04168">
            <w:pPr>
              <w:ind w:right="-143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 xml:space="preserve">Калининградский </w:t>
            </w:r>
            <w:proofErr w:type="spellStart"/>
            <w:r w:rsidRPr="00B04168">
              <w:rPr>
                <w:sz w:val="20"/>
                <w:szCs w:val="20"/>
              </w:rPr>
              <w:t>г.о</w:t>
            </w:r>
            <w:proofErr w:type="spellEnd"/>
            <w:r w:rsidRPr="00B04168">
              <w:rPr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B0276" w14:textId="77777777" w:rsidR="00877011" w:rsidRPr="00B04168" w:rsidRDefault="00877011" w:rsidP="001A42CC">
            <w:pPr>
              <w:tabs>
                <w:tab w:val="left" w:pos="5954"/>
              </w:tabs>
              <w:ind w:right="-143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10,0%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A421B" w14:textId="77777777" w:rsidR="00877011" w:rsidRPr="00B04168" w:rsidRDefault="00877011" w:rsidP="001A42CC">
            <w:pPr>
              <w:tabs>
                <w:tab w:val="left" w:pos="5954"/>
              </w:tabs>
              <w:ind w:right="25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1 297 840</w:t>
            </w:r>
          </w:p>
        </w:tc>
      </w:tr>
      <w:tr w:rsidR="00877011" w:rsidRPr="00B04168" w14:paraId="412C8B65" w14:textId="77777777" w:rsidTr="001A42CC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3EDC" w14:textId="77777777" w:rsidR="00877011" w:rsidRPr="00B04168" w:rsidRDefault="00877011" w:rsidP="00B04168">
            <w:pPr>
              <w:ind w:right="-143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 xml:space="preserve">Краснознаменский </w:t>
            </w:r>
            <w:proofErr w:type="spellStart"/>
            <w:r w:rsidRPr="00B04168">
              <w:rPr>
                <w:sz w:val="20"/>
                <w:szCs w:val="20"/>
              </w:rPr>
              <w:t>г.о</w:t>
            </w:r>
            <w:proofErr w:type="spellEnd"/>
            <w:r w:rsidRPr="00B04168">
              <w:rPr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A6F83" w14:textId="77777777" w:rsidR="00877011" w:rsidRPr="00B04168" w:rsidRDefault="00877011" w:rsidP="001A42CC">
            <w:pPr>
              <w:tabs>
                <w:tab w:val="left" w:pos="5954"/>
              </w:tabs>
              <w:ind w:right="-143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80,0%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4DC85" w14:textId="77777777" w:rsidR="00877011" w:rsidRPr="00B04168" w:rsidRDefault="00877011" w:rsidP="001A42CC">
            <w:pPr>
              <w:tabs>
                <w:tab w:val="left" w:pos="5954"/>
              </w:tabs>
              <w:ind w:right="25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50 118</w:t>
            </w:r>
          </w:p>
        </w:tc>
      </w:tr>
      <w:tr w:rsidR="00877011" w:rsidRPr="00B04168" w14:paraId="1585D2A0" w14:textId="77777777" w:rsidTr="001A42CC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7A8E" w14:textId="77777777" w:rsidR="00877011" w:rsidRPr="00B04168" w:rsidRDefault="00877011" w:rsidP="00B04168">
            <w:pPr>
              <w:ind w:right="-143"/>
              <w:rPr>
                <w:sz w:val="20"/>
                <w:szCs w:val="20"/>
              </w:rPr>
            </w:pPr>
            <w:proofErr w:type="spellStart"/>
            <w:r w:rsidRPr="00B04168">
              <w:rPr>
                <w:sz w:val="20"/>
                <w:szCs w:val="20"/>
              </w:rPr>
              <w:t>Ладушкинский</w:t>
            </w:r>
            <w:proofErr w:type="spellEnd"/>
            <w:r w:rsidRPr="00B04168">
              <w:rPr>
                <w:sz w:val="20"/>
                <w:szCs w:val="20"/>
              </w:rPr>
              <w:t xml:space="preserve"> </w:t>
            </w:r>
            <w:proofErr w:type="spellStart"/>
            <w:r w:rsidRPr="00B04168">
              <w:rPr>
                <w:sz w:val="20"/>
                <w:szCs w:val="20"/>
              </w:rPr>
              <w:t>г.о</w:t>
            </w:r>
            <w:proofErr w:type="spellEnd"/>
            <w:r w:rsidRPr="00B04168">
              <w:rPr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683C2" w14:textId="77777777" w:rsidR="00877011" w:rsidRPr="00B04168" w:rsidRDefault="00877011" w:rsidP="001A42CC">
            <w:pPr>
              <w:tabs>
                <w:tab w:val="left" w:pos="5954"/>
              </w:tabs>
              <w:ind w:right="-143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53,0%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99213" w14:textId="77777777" w:rsidR="00877011" w:rsidRPr="00B04168" w:rsidRDefault="00877011" w:rsidP="001A42CC">
            <w:pPr>
              <w:tabs>
                <w:tab w:val="left" w:pos="5954"/>
              </w:tabs>
              <w:ind w:right="25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19 829</w:t>
            </w:r>
          </w:p>
        </w:tc>
      </w:tr>
      <w:tr w:rsidR="00877011" w:rsidRPr="00B04168" w14:paraId="57A97F90" w14:textId="77777777" w:rsidTr="001A42CC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F0EF" w14:textId="77777777" w:rsidR="00877011" w:rsidRPr="00B04168" w:rsidRDefault="00877011" w:rsidP="00B04168">
            <w:pPr>
              <w:ind w:right="-143"/>
              <w:rPr>
                <w:sz w:val="20"/>
                <w:szCs w:val="20"/>
              </w:rPr>
            </w:pPr>
            <w:proofErr w:type="spellStart"/>
            <w:r w:rsidRPr="00B04168">
              <w:rPr>
                <w:sz w:val="20"/>
                <w:szCs w:val="20"/>
              </w:rPr>
              <w:t>Мамоновский</w:t>
            </w:r>
            <w:proofErr w:type="spellEnd"/>
            <w:r w:rsidRPr="00B04168">
              <w:rPr>
                <w:sz w:val="20"/>
                <w:szCs w:val="20"/>
              </w:rPr>
              <w:t xml:space="preserve"> </w:t>
            </w:r>
            <w:proofErr w:type="spellStart"/>
            <w:r w:rsidRPr="00B04168">
              <w:rPr>
                <w:sz w:val="20"/>
                <w:szCs w:val="20"/>
              </w:rPr>
              <w:t>г.о</w:t>
            </w:r>
            <w:proofErr w:type="spellEnd"/>
            <w:r w:rsidRPr="00B04168">
              <w:rPr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0CC21" w14:textId="77777777" w:rsidR="00877011" w:rsidRPr="00B04168" w:rsidRDefault="00877011" w:rsidP="001A42CC">
            <w:pPr>
              <w:tabs>
                <w:tab w:val="left" w:pos="5954"/>
              </w:tabs>
              <w:ind w:right="-143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66,0%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3D684" w14:textId="77777777" w:rsidR="00877011" w:rsidRPr="00B04168" w:rsidRDefault="00877011" w:rsidP="001A42CC">
            <w:pPr>
              <w:tabs>
                <w:tab w:val="left" w:pos="5954"/>
              </w:tabs>
              <w:ind w:right="25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43 445</w:t>
            </w:r>
          </w:p>
        </w:tc>
      </w:tr>
      <w:tr w:rsidR="00877011" w:rsidRPr="00B04168" w14:paraId="3BB73516" w14:textId="77777777" w:rsidTr="001A42CC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89A9" w14:textId="77777777" w:rsidR="00877011" w:rsidRPr="00B04168" w:rsidRDefault="00877011" w:rsidP="00B04168">
            <w:pPr>
              <w:ind w:right="-143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 xml:space="preserve">Неманский </w:t>
            </w:r>
            <w:proofErr w:type="spellStart"/>
            <w:r w:rsidRPr="00B04168">
              <w:rPr>
                <w:sz w:val="20"/>
                <w:szCs w:val="20"/>
              </w:rPr>
              <w:t>г.о</w:t>
            </w:r>
            <w:proofErr w:type="spellEnd"/>
            <w:r w:rsidRPr="00B04168">
              <w:rPr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0E3C6" w14:textId="77777777" w:rsidR="00877011" w:rsidRPr="00B04168" w:rsidRDefault="00877011" w:rsidP="001A42CC">
            <w:pPr>
              <w:tabs>
                <w:tab w:val="left" w:pos="5954"/>
              </w:tabs>
              <w:ind w:right="-143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80,0%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EF26E" w14:textId="77777777" w:rsidR="00877011" w:rsidRPr="00B04168" w:rsidRDefault="00877011" w:rsidP="001A42CC">
            <w:pPr>
              <w:tabs>
                <w:tab w:val="left" w:pos="5954"/>
              </w:tabs>
              <w:ind w:right="25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112 874</w:t>
            </w:r>
          </w:p>
        </w:tc>
      </w:tr>
      <w:tr w:rsidR="00877011" w:rsidRPr="00B04168" w14:paraId="7FE85208" w14:textId="77777777" w:rsidTr="001A42CC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5FA2" w14:textId="77777777" w:rsidR="00877011" w:rsidRPr="00B04168" w:rsidRDefault="00877011" w:rsidP="00B04168">
            <w:pPr>
              <w:ind w:right="-143"/>
              <w:rPr>
                <w:sz w:val="20"/>
                <w:szCs w:val="20"/>
              </w:rPr>
            </w:pPr>
            <w:proofErr w:type="spellStart"/>
            <w:r w:rsidRPr="00B04168">
              <w:rPr>
                <w:sz w:val="20"/>
                <w:szCs w:val="20"/>
              </w:rPr>
              <w:t>Нестеровский</w:t>
            </w:r>
            <w:proofErr w:type="spellEnd"/>
            <w:r w:rsidRPr="00B04168">
              <w:rPr>
                <w:sz w:val="20"/>
                <w:szCs w:val="20"/>
              </w:rPr>
              <w:t xml:space="preserve"> </w:t>
            </w:r>
            <w:proofErr w:type="spellStart"/>
            <w:r w:rsidRPr="00B04168">
              <w:rPr>
                <w:sz w:val="20"/>
                <w:szCs w:val="20"/>
              </w:rPr>
              <w:t>г.о</w:t>
            </w:r>
            <w:proofErr w:type="spellEnd"/>
            <w:r w:rsidRPr="00B04168">
              <w:rPr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DD778" w14:textId="77777777" w:rsidR="00877011" w:rsidRPr="00B04168" w:rsidRDefault="00877011" w:rsidP="001A42CC">
            <w:pPr>
              <w:tabs>
                <w:tab w:val="left" w:pos="5954"/>
              </w:tabs>
              <w:ind w:right="-143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43,0%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FD5C3" w14:textId="77777777" w:rsidR="00877011" w:rsidRPr="00B04168" w:rsidRDefault="00877011" w:rsidP="001A42CC">
            <w:pPr>
              <w:tabs>
                <w:tab w:val="left" w:pos="5954"/>
              </w:tabs>
              <w:ind w:right="25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90 829</w:t>
            </w:r>
          </w:p>
        </w:tc>
      </w:tr>
      <w:tr w:rsidR="00877011" w:rsidRPr="00B04168" w14:paraId="7E926EF6" w14:textId="77777777" w:rsidTr="001A42CC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05F4" w14:textId="77777777" w:rsidR="00877011" w:rsidRPr="00B04168" w:rsidRDefault="00877011" w:rsidP="00B04168">
            <w:pPr>
              <w:ind w:right="-143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 xml:space="preserve">Озерский </w:t>
            </w:r>
            <w:proofErr w:type="spellStart"/>
            <w:r w:rsidRPr="00B04168">
              <w:rPr>
                <w:sz w:val="20"/>
                <w:szCs w:val="20"/>
              </w:rPr>
              <w:t>г.о</w:t>
            </w:r>
            <w:proofErr w:type="spellEnd"/>
            <w:r w:rsidRPr="00B04168">
              <w:rPr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11DA9" w14:textId="77777777" w:rsidR="00877011" w:rsidRPr="00B04168" w:rsidRDefault="00877011" w:rsidP="001A42CC">
            <w:pPr>
              <w:tabs>
                <w:tab w:val="left" w:pos="5954"/>
              </w:tabs>
              <w:ind w:right="-143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80,0%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BA2D4" w14:textId="77777777" w:rsidR="00877011" w:rsidRPr="00B04168" w:rsidRDefault="00877011" w:rsidP="001A42CC">
            <w:pPr>
              <w:tabs>
                <w:tab w:val="left" w:pos="5954"/>
              </w:tabs>
              <w:ind w:right="25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83 278</w:t>
            </w:r>
          </w:p>
        </w:tc>
      </w:tr>
      <w:tr w:rsidR="00877011" w:rsidRPr="00B04168" w14:paraId="6706DDB6" w14:textId="77777777" w:rsidTr="001A42CC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CC4D" w14:textId="77777777" w:rsidR="00877011" w:rsidRPr="00B04168" w:rsidRDefault="00877011" w:rsidP="00B04168">
            <w:pPr>
              <w:ind w:right="-143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 xml:space="preserve">Пионерский </w:t>
            </w:r>
            <w:proofErr w:type="spellStart"/>
            <w:r w:rsidRPr="00B04168">
              <w:rPr>
                <w:sz w:val="20"/>
                <w:szCs w:val="20"/>
              </w:rPr>
              <w:t>г.о</w:t>
            </w:r>
            <w:proofErr w:type="spellEnd"/>
            <w:r w:rsidRPr="00B04168">
              <w:rPr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8667" w14:textId="77777777" w:rsidR="00877011" w:rsidRPr="00B04168" w:rsidRDefault="00877011" w:rsidP="001A42CC">
            <w:pPr>
              <w:tabs>
                <w:tab w:val="left" w:pos="5954"/>
              </w:tabs>
              <w:ind w:right="-143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18,0%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214DA" w14:textId="77777777" w:rsidR="00877011" w:rsidRPr="00B04168" w:rsidRDefault="00877011" w:rsidP="001A42CC">
            <w:pPr>
              <w:tabs>
                <w:tab w:val="left" w:pos="5954"/>
              </w:tabs>
              <w:ind w:right="25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30 904</w:t>
            </w:r>
          </w:p>
        </w:tc>
      </w:tr>
      <w:tr w:rsidR="00877011" w:rsidRPr="00B04168" w14:paraId="1AC93FE4" w14:textId="77777777" w:rsidTr="001A42CC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8C40" w14:textId="77777777" w:rsidR="00877011" w:rsidRPr="00B04168" w:rsidRDefault="00877011" w:rsidP="00B04168">
            <w:pPr>
              <w:ind w:right="-143"/>
              <w:rPr>
                <w:sz w:val="20"/>
                <w:szCs w:val="20"/>
              </w:rPr>
            </w:pPr>
            <w:proofErr w:type="spellStart"/>
            <w:r w:rsidRPr="00B04168">
              <w:rPr>
                <w:sz w:val="20"/>
                <w:szCs w:val="20"/>
              </w:rPr>
              <w:t>Полесский</w:t>
            </w:r>
            <w:proofErr w:type="spellEnd"/>
            <w:r w:rsidRPr="00B04168">
              <w:rPr>
                <w:sz w:val="20"/>
                <w:szCs w:val="20"/>
              </w:rPr>
              <w:t xml:space="preserve"> </w:t>
            </w:r>
            <w:proofErr w:type="spellStart"/>
            <w:r w:rsidRPr="00B04168">
              <w:rPr>
                <w:sz w:val="20"/>
                <w:szCs w:val="20"/>
              </w:rPr>
              <w:t>г.о</w:t>
            </w:r>
            <w:proofErr w:type="spellEnd"/>
            <w:r w:rsidRPr="00B04168">
              <w:rPr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533C3" w14:textId="77777777" w:rsidR="00877011" w:rsidRPr="00B04168" w:rsidRDefault="00877011" w:rsidP="001A42CC">
            <w:pPr>
              <w:tabs>
                <w:tab w:val="left" w:pos="5954"/>
              </w:tabs>
              <w:ind w:right="-143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80,0%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FA8BD" w14:textId="77777777" w:rsidR="00877011" w:rsidRPr="00B04168" w:rsidRDefault="00877011" w:rsidP="001A42CC">
            <w:pPr>
              <w:tabs>
                <w:tab w:val="left" w:pos="5954"/>
              </w:tabs>
              <w:ind w:right="25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100 842</w:t>
            </w:r>
          </w:p>
        </w:tc>
      </w:tr>
      <w:tr w:rsidR="00877011" w:rsidRPr="00B04168" w14:paraId="32378B49" w14:textId="77777777" w:rsidTr="001A42CC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D084" w14:textId="77777777" w:rsidR="00877011" w:rsidRPr="00B04168" w:rsidRDefault="00877011" w:rsidP="00B04168">
            <w:pPr>
              <w:ind w:right="-143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 xml:space="preserve">Правдинский  </w:t>
            </w:r>
            <w:proofErr w:type="spellStart"/>
            <w:r w:rsidRPr="00B04168">
              <w:rPr>
                <w:sz w:val="20"/>
                <w:szCs w:val="20"/>
              </w:rPr>
              <w:t>г.о</w:t>
            </w:r>
            <w:proofErr w:type="spellEnd"/>
            <w:r w:rsidRPr="00B04168">
              <w:rPr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024C2" w14:textId="77777777" w:rsidR="00877011" w:rsidRPr="00B04168" w:rsidRDefault="00877011" w:rsidP="001A42CC">
            <w:pPr>
              <w:tabs>
                <w:tab w:val="left" w:pos="5954"/>
              </w:tabs>
              <w:ind w:right="-143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80,0%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EE0EC" w14:textId="77777777" w:rsidR="00877011" w:rsidRPr="00B04168" w:rsidRDefault="00877011" w:rsidP="001A42CC">
            <w:pPr>
              <w:tabs>
                <w:tab w:val="left" w:pos="5954"/>
              </w:tabs>
              <w:ind w:right="25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109 724</w:t>
            </w:r>
          </w:p>
        </w:tc>
      </w:tr>
      <w:tr w:rsidR="00877011" w:rsidRPr="00B04168" w14:paraId="42893A32" w14:textId="77777777" w:rsidTr="001A42CC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4949" w14:textId="77777777" w:rsidR="00877011" w:rsidRPr="00B04168" w:rsidRDefault="00877011" w:rsidP="00B04168">
            <w:pPr>
              <w:ind w:right="-143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 xml:space="preserve">Светлогорский </w:t>
            </w:r>
            <w:proofErr w:type="spellStart"/>
            <w:r w:rsidRPr="00B04168">
              <w:rPr>
                <w:sz w:val="20"/>
                <w:szCs w:val="20"/>
              </w:rPr>
              <w:t>г.о</w:t>
            </w:r>
            <w:proofErr w:type="spellEnd"/>
            <w:r w:rsidRPr="00B04168">
              <w:rPr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3403A" w14:textId="77777777" w:rsidR="00877011" w:rsidRPr="00B04168" w:rsidRDefault="00877011" w:rsidP="001A42CC">
            <w:pPr>
              <w:tabs>
                <w:tab w:val="left" w:pos="5954"/>
              </w:tabs>
              <w:ind w:right="-143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13,0%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3A837" w14:textId="77777777" w:rsidR="00877011" w:rsidRPr="00B04168" w:rsidRDefault="00877011" w:rsidP="001A42CC">
            <w:pPr>
              <w:tabs>
                <w:tab w:val="left" w:pos="5954"/>
              </w:tabs>
              <w:ind w:right="25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48 738</w:t>
            </w:r>
          </w:p>
        </w:tc>
      </w:tr>
      <w:tr w:rsidR="00877011" w:rsidRPr="00B04168" w14:paraId="51C9393B" w14:textId="77777777" w:rsidTr="001A42CC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5F84" w14:textId="77777777" w:rsidR="00877011" w:rsidRPr="00B04168" w:rsidRDefault="00877011" w:rsidP="00B04168">
            <w:pPr>
              <w:ind w:right="-143"/>
              <w:rPr>
                <w:sz w:val="20"/>
                <w:szCs w:val="20"/>
              </w:rPr>
            </w:pPr>
            <w:proofErr w:type="spellStart"/>
            <w:r w:rsidRPr="00B04168">
              <w:rPr>
                <w:sz w:val="20"/>
                <w:szCs w:val="20"/>
              </w:rPr>
              <w:t>Светловский</w:t>
            </w:r>
            <w:proofErr w:type="spellEnd"/>
            <w:r w:rsidRPr="00B04168">
              <w:rPr>
                <w:sz w:val="20"/>
                <w:szCs w:val="20"/>
              </w:rPr>
              <w:t xml:space="preserve"> </w:t>
            </w:r>
            <w:proofErr w:type="spellStart"/>
            <w:r w:rsidRPr="00B04168">
              <w:rPr>
                <w:sz w:val="20"/>
                <w:szCs w:val="20"/>
              </w:rPr>
              <w:t>г.о</w:t>
            </w:r>
            <w:proofErr w:type="spellEnd"/>
            <w:r w:rsidRPr="00B04168">
              <w:rPr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F0C24" w14:textId="77777777" w:rsidR="00877011" w:rsidRPr="00B04168" w:rsidRDefault="00877011" w:rsidP="001A42CC">
            <w:pPr>
              <w:tabs>
                <w:tab w:val="left" w:pos="5954"/>
              </w:tabs>
              <w:ind w:right="-143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12,0%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19BF7" w14:textId="77777777" w:rsidR="00877011" w:rsidRPr="00B04168" w:rsidRDefault="00877011" w:rsidP="001A42CC">
            <w:pPr>
              <w:tabs>
                <w:tab w:val="left" w:pos="5954"/>
              </w:tabs>
              <w:ind w:right="25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78 727</w:t>
            </w:r>
          </w:p>
        </w:tc>
      </w:tr>
      <w:tr w:rsidR="00877011" w:rsidRPr="00B04168" w14:paraId="41EE9D54" w14:textId="77777777" w:rsidTr="001A42CC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78DB" w14:textId="77777777" w:rsidR="00877011" w:rsidRPr="00B04168" w:rsidRDefault="00877011" w:rsidP="00B04168">
            <w:pPr>
              <w:ind w:right="-143"/>
              <w:rPr>
                <w:sz w:val="20"/>
                <w:szCs w:val="20"/>
              </w:rPr>
            </w:pPr>
            <w:proofErr w:type="spellStart"/>
            <w:r w:rsidRPr="00B04168">
              <w:rPr>
                <w:sz w:val="20"/>
                <w:szCs w:val="20"/>
              </w:rPr>
              <w:t>Славский</w:t>
            </w:r>
            <w:proofErr w:type="spellEnd"/>
            <w:r w:rsidRPr="00B04168">
              <w:rPr>
                <w:sz w:val="20"/>
                <w:szCs w:val="20"/>
              </w:rPr>
              <w:t xml:space="preserve"> </w:t>
            </w:r>
            <w:proofErr w:type="spellStart"/>
            <w:r w:rsidRPr="00B04168">
              <w:rPr>
                <w:sz w:val="20"/>
                <w:szCs w:val="20"/>
              </w:rPr>
              <w:t>г.о</w:t>
            </w:r>
            <w:proofErr w:type="spellEnd"/>
            <w:r w:rsidRPr="00B04168">
              <w:rPr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A3D07" w14:textId="77777777" w:rsidR="00877011" w:rsidRPr="00B04168" w:rsidRDefault="00877011" w:rsidP="001A42CC">
            <w:pPr>
              <w:tabs>
                <w:tab w:val="left" w:pos="5954"/>
              </w:tabs>
              <w:ind w:right="-143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80,0%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41CB8" w14:textId="77777777" w:rsidR="00877011" w:rsidRPr="00B04168" w:rsidRDefault="00877011" w:rsidP="001A42CC">
            <w:pPr>
              <w:tabs>
                <w:tab w:val="left" w:pos="5954"/>
              </w:tabs>
              <w:ind w:right="25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86 785</w:t>
            </w:r>
          </w:p>
        </w:tc>
      </w:tr>
      <w:tr w:rsidR="00877011" w:rsidRPr="00B04168" w14:paraId="63E46751" w14:textId="77777777" w:rsidTr="001A42CC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7B3A" w14:textId="77777777" w:rsidR="00877011" w:rsidRPr="00B04168" w:rsidRDefault="00877011" w:rsidP="00B04168">
            <w:pPr>
              <w:ind w:right="-143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 xml:space="preserve">Советский </w:t>
            </w:r>
            <w:proofErr w:type="spellStart"/>
            <w:r w:rsidRPr="00B04168">
              <w:rPr>
                <w:sz w:val="20"/>
                <w:szCs w:val="20"/>
              </w:rPr>
              <w:t>г.о</w:t>
            </w:r>
            <w:proofErr w:type="spellEnd"/>
            <w:r w:rsidRPr="00B04168">
              <w:rPr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2467F" w14:textId="77777777" w:rsidR="00877011" w:rsidRPr="00B04168" w:rsidRDefault="00877011" w:rsidP="001A42CC">
            <w:pPr>
              <w:tabs>
                <w:tab w:val="left" w:pos="5954"/>
              </w:tabs>
              <w:ind w:right="-143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34,0%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75BAA" w14:textId="77777777" w:rsidR="00877011" w:rsidRPr="00B04168" w:rsidRDefault="00877011" w:rsidP="001A42CC">
            <w:pPr>
              <w:tabs>
                <w:tab w:val="left" w:pos="5954"/>
              </w:tabs>
              <w:ind w:right="25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169 180</w:t>
            </w:r>
          </w:p>
        </w:tc>
      </w:tr>
      <w:tr w:rsidR="00877011" w:rsidRPr="00B04168" w14:paraId="2AA95CDB" w14:textId="77777777" w:rsidTr="001A42CC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711B" w14:textId="77777777" w:rsidR="00877011" w:rsidRPr="00B04168" w:rsidRDefault="00877011" w:rsidP="00B04168">
            <w:pPr>
              <w:ind w:right="-143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 xml:space="preserve">Черняховский </w:t>
            </w:r>
            <w:proofErr w:type="spellStart"/>
            <w:r w:rsidRPr="00B04168">
              <w:rPr>
                <w:sz w:val="20"/>
                <w:szCs w:val="20"/>
              </w:rPr>
              <w:t>г.о</w:t>
            </w:r>
            <w:proofErr w:type="spellEnd"/>
            <w:r w:rsidRPr="00B04168">
              <w:rPr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BFB1E" w14:textId="77777777" w:rsidR="00877011" w:rsidRPr="00B04168" w:rsidRDefault="00877011" w:rsidP="001A42CC">
            <w:pPr>
              <w:tabs>
                <w:tab w:val="left" w:pos="5954"/>
              </w:tabs>
              <w:ind w:right="-143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41,0%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D6D5C" w14:textId="77777777" w:rsidR="00877011" w:rsidRPr="00B04168" w:rsidRDefault="00877011" w:rsidP="001A42CC">
            <w:pPr>
              <w:tabs>
                <w:tab w:val="left" w:pos="5954"/>
              </w:tabs>
              <w:ind w:right="25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244 490</w:t>
            </w:r>
          </w:p>
        </w:tc>
      </w:tr>
      <w:tr w:rsidR="00877011" w:rsidRPr="00B04168" w14:paraId="47840C64" w14:textId="77777777" w:rsidTr="001A42CC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0FE8" w14:textId="77777777" w:rsidR="00877011" w:rsidRPr="00B04168" w:rsidRDefault="00877011" w:rsidP="00B04168">
            <w:pPr>
              <w:ind w:right="-143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 xml:space="preserve">Янтарный </w:t>
            </w:r>
            <w:proofErr w:type="spellStart"/>
            <w:r w:rsidRPr="00B04168">
              <w:rPr>
                <w:sz w:val="20"/>
                <w:szCs w:val="20"/>
              </w:rPr>
              <w:t>г.о</w:t>
            </w:r>
            <w:proofErr w:type="spellEnd"/>
            <w:r w:rsidRPr="00B04168">
              <w:rPr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B02A8" w14:textId="77777777" w:rsidR="00877011" w:rsidRPr="00B04168" w:rsidRDefault="00877011" w:rsidP="001A42CC">
            <w:pPr>
              <w:tabs>
                <w:tab w:val="left" w:pos="5954"/>
              </w:tabs>
              <w:ind w:right="-143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18,0%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1DCE5" w14:textId="77777777" w:rsidR="00877011" w:rsidRPr="00B04168" w:rsidRDefault="00877011" w:rsidP="001A42CC">
            <w:pPr>
              <w:tabs>
                <w:tab w:val="left" w:pos="5954"/>
              </w:tabs>
              <w:ind w:right="25" w:firstLine="567"/>
              <w:jc w:val="right"/>
              <w:rPr>
                <w:sz w:val="20"/>
                <w:szCs w:val="20"/>
              </w:rPr>
            </w:pPr>
            <w:r w:rsidRPr="00B04168">
              <w:rPr>
                <w:sz w:val="20"/>
                <w:szCs w:val="20"/>
              </w:rPr>
              <w:t>17 883</w:t>
            </w:r>
          </w:p>
        </w:tc>
      </w:tr>
      <w:tr w:rsidR="00877011" w14:paraId="2037DDD5" w14:textId="77777777" w:rsidTr="001A42CC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31F2" w14:textId="77777777" w:rsidR="00877011" w:rsidRDefault="00877011" w:rsidP="00B04168">
            <w:pPr>
              <w:rPr>
                <w:rFonts w:ascii="Arial CYR" w:hAnsi="Arial CY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CDAF" w14:textId="77777777" w:rsidR="00877011" w:rsidRDefault="00877011" w:rsidP="00B04168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71F6" w14:textId="77777777" w:rsidR="00877011" w:rsidRDefault="00877011" w:rsidP="00B04168">
            <w:pPr>
              <w:jc w:val="right"/>
              <w:rPr>
                <w:rFonts w:ascii="Arial CYR" w:hAnsi="Arial CYR"/>
              </w:rPr>
            </w:pPr>
          </w:p>
        </w:tc>
      </w:tr>
    </w:tbl>
    <w:p w14:paraId="1A460AC6" w14:textId="77777777" w:rsidR="00346E89" w:rsidRDefault="00B04168">
      <w:pPr>
        <w:ind w:right="-143" w:firstLine="567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F311D5">
        <w:rPr>
          <w:sz w:val="20"/>
          <w:szCs w:val="20"/>
        </w:rPr>
        <w:t xml:space="preserve">  </w:t>
      </w:r>
      <w:r w:rsidR="00F311D5">
        <w:fldChar w:fldCharType="begin"/>
      </w:r>
      <w:r w:rsidR="00F311D5">
        <w:rPr>
          <w:sz w:val="20"/>
          <w:szCs w:val="20"/>
        </w:rPr>
        <w:instrText>LINK Excel.Sheet.12 "N:181016:18-10-2016_11-11-04:161031 допнорматив дотация:Дотации_2017-2019 на согласование МО.xlsx" "ƒоп.норм.Ќƒ‘Ћ на согл.!R2C1:R36C7" \a \f 4 \h  \* MERGEFORMAT</w:instrText>
      </w:r>
      <w:r w:rsidR="00F311D5">
        <w:rPr>
          <w:sz w:val="20"/>
          <w:szCs w:val="20"/>
        </w:rPr>
        <w:fldChar w:fldCharType="separate"/>
      </w:r>
      <w:bookmarkStart w:id="2" w:name="_1539431808"/>
      <w:bookmarkStart w:id="3" w:name="__Fieldmark__7693_3797838805"/>
      <w:bookmarkEnd w:id="2"/>
    </w:p>
    <w:p w14:paraId="0C1811F8" w14:textId="77777777" w:rsidR="003D3E75" w:rsidRDefault="00F311D5" w:rsidP="003D3E75">
      <w:pPr>
        <w:ind w:right="-143" w:firstLine="567"/>
        <w:jc w:val="both"/>
      </w:pPr>
      <w:r>
        <w:fldChar w:fldCharType="end"/>
      </w:r>
      <w:bookmarkEnd w:id="3"/>
      <w:r w:rsidR="003D3E75" w:rsidRPr="003D3E75">
        <w:t xml:space="preserve"> </w:t>
      </w:r>
      <w:r w:rsidR="003D3E75">
        <w:t>Таким образом, м</w:t>
      </w:r>
      <w:r w:rsidR="003D3E75" w:rsidRPr="009A5280">
        <w:t>аксимальный доп</w:t>
      </w:r>
      <w:r w:rsidR="003D3E75">
        <w:t xml:space="preserve">олнительный </w:t>
      </w:r>
      <w:r w:rsidR="003D3E75" w:rsidRPr="009A5280">
        <w:t>норматив по НДФЛ</w:t>
      </w:r>
      <w:r w:rsidR="003D3E75">
        <w:t xml:space="preserve"> в 2019-2021 годах может составить 20%, 12%, 12% соответственно.</w:t>
      </w:r>
    </w:p>
    <w:p w14:paraId="127607E0" w14:textId="77777777" w:rsidR="00877011" w:rsidRDefault="00F311D5">
      <w:pPr>
        <w:ind w:right="-143" w:firstLine="567"/>
        <w:jc w:val="both"/>
      </w:pPr>
      <w:r>
        <w:t xml:space="preserve">Предлагаемым проектом планируется заменить дотацию на выравнивание бюджетной обеспеченности дополнительным нормативом по НДФЛ </w:t>
      </w:r>
      <w:r w:rsidR="00877011">
        <w:t>в размере 12%</w:t>
      </w:r>
      <w:r w:rsidR="00FA71E4">
        <w:t xml:space="preserve"> на 2021 год</w:t>
      </w:r>
      <w:r>
        <w:t>;</w:t>
      </w:r>
    </w:p>
    <w:p w14:paraId="5518D95E" w14:textId="77777777" w:rsidR="00346E89" w:rsidRDefault="009C3CD9" w:rsidP="009C3CD9">
      <w:pPr>
        <w:ind w:right="-143"/>
        <w:jc w:val="both"/>
      </w:pPr>
      <w:r>
        <w:t xml:space="preserve">        </w:t>
      </w:r>
      <w:r w:rsidR="008163B4">
        <w:t xml:space="preserve"> Д</w:t>
      </w:r>
      <w:r w:rsidR="00F311D5">
        <w:t>оля средств, поступ</w:t>
      </w:r>
      <w:r>
        <w:t>ающих в виде дотации составила</w:t>
      </w:r>
      <w:r w:rsidR="008163B4">
        <w:t>: на 2018 год</w:t>
      </w:r>
      <w:r w:rsidR="007B0A09">
        <w:t xml:space="preserve"> </w:t>
      </w:r>
      <w:r w:rsidR="008163B4">
        <w:t>-</w:t>
      </w:r>
      <w:r w:rsidR="007B0A09">
        <w:t xml:space="preserve"> </w:t>
      </w:r>
      <w:r w:rsidR="008163B4">
        <w:t>6 %,</w:t>
      </w:r>
      <w:r>
        <w:t xml:space="preserve"> </w:t>
      </w:r>
      <w:r w:rsidR="008163B4">
        <w:t>2019 год -</w:t>
      </w:r>
      <w:r w:rsidR="007B0A09">
        <w:t xml:space="preserve"> </w:t>
      </w:r>
      <w:r w:rsidR="008163B4">
        <w:t>6%</w:t>
      </w:r>
      <w:r w:rsidR="00F311D5">
        <w:t xml:space="preserve"> </w:t>
      </w:r>
      <w:r w:rsidR="008163B4">
        <w:t>, 2020 год -10 %, 2021 год -10 %</w:t>
      </w:r>
      <w:r w:rsidR="00F311D5">
        <w:t>.</w:t>
      </w:r>
    </w:p>
    <w:p w14:paraId="3557BF72" w14:textId="77777777" w:rsidR="00346E89" w:rsidRDefault="00F311D5">
      <w:pPr>
        <w:ind w:right="-143" w:firstLine="567"/>
        <w:jc w:val="both"/>
      </w:pPr>
      <w:r>
        <w:t>Динамику поступлений от дополнительного норматива и дотации на выравнивание бюджетной обеспеченности показывает следующая таблица:</w:t>
      </w:r>
      <w:r>
        <w:fldChar w:fldCharType="begin"/>
      </w:r>
      <w:r>
        <w:instrText>LINK Excel.Sheet.12 "N:181016:18-10-2016_11-11-04:161031 допнорматив дотация:Дотации_2017-2019 на согласование МО.xlsx" "Ћист1 (2)!R2C1:R7C4" \a \f 4 \h  \* MERGEFORMAT</w:instrText>
      </w:r>
      <w:r>
        <w:fldChar w:fldCharType="separate"/>
      </w:r>
      <w:bookmarkStart w:id="4" w:name="_1539437964"/>
      <w:bookmarkStart w:id="5" w:name="__Fieldmark__7694_3797838805"/>
      <w:bookmarkEnd w:id="4"/>
    </w:p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01"/>
        <w:gridCol w:w="1910"/>
        <w:gridCol w:w="2693"/>
        <w:gridCol w:w="4121"/>
      </w:tblGrid>
      <w:tr w:rsidR="00346E89" w14:paraId="4F5545F5" w14:textId="77777777">
        <w:trPr>
          <w:trHeight w:val="29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83928" w14:textId="77777777" w:rsidR="00346E89" w:rsidRDefault="00F311D5">
            <w:pPr>
              <w:jc w:val="center"/>
            </w:pPr>
            <w:r>
              <w:lastRenderedPageBreak/>
              <w:t>Год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5649D" w14:textId="77777777" w:rsidR="00346E89" w:rsidRDefault="00F311D5">
            <w:pPr>
              <w:jc w:val="center"/>
            </w:pPr>
            <w:r>
              <w:t>Доп. норматив,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18D8A" w14:textId="77777777" w:rsidR="00346E89" w:rsidRDefault="00F311D5">
            <w:pPr>
              <w:jc w:val="center"/>
            </w:pPr>
            <w:r>
              <w:t>Поступления от доп. норматива, тыс. руб.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FC1F2" w14:textId="77777777" w:rsidR="008163B4" w:rsidRDefault="00F311D5">
            <w:pPr>
              <w:jc w:val="center"/>
            </w:pPr>
            <w:r>
              <w:t xml:space="preserve">Дотация на выравнивание </w:t>
            </w:r>
            <w:proofErr w:type="spellStart"/>
            <w:r>
              <w:t>бюдж</w:t>
            </w:r>
            <w:proofErr w:type="spellEnd"/>
            <w:r>
              <w:t>. обеспеченности, тыс. руб</w:t>
            </w:r>
            <w:r w:rsidR="00915DB8">
              <w:t>.</w:t>
            </w:r>
          </w:p>
          <w:p w14:paraId="6B204072" w14:textId="77777777" w:rsidR="00346E89" w:rsidRDefault="00346E89">
            <w:pPr>
              <w:jc w:val="center"/>
            </w:pPr>
          </w:p>
        </w:tc>
      </w:tr>
      <w:tr w:rsidR="00346E89" w14:paraId="3B654F92" w14:textId="77777777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99B41" w14:textId="77777777" w:rsidR="00346E89" w:rsidRDefault="00FA71E4">
            <w:pPr>
              <w:jc w:val="center"/>
            </w:pPr>
            <w:r>
              <w:t>2018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5B886" w14:textId="77777777" w:rsidR="00346E89" w:rsidRDefault="00FA71E4">
            <w:pPr>
              <w:jc w:val="center"/>
            </w:pPr>
            <w:r>
              <w:t>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B117" w14:textId="77777777" w:rsidR="00346E89" w:rsidRDefault="008163B4">
            <w:pPr>
              <w:jc w:val="center"/>
            </w:pPr>
            <w:r>
              <w:t>91500,00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92FA" w14:textId="77777777" w:rsidR="00346E89" w:rsidRDefault="00915DB8">
            <w:pPr>
              <w:jc w:val="center"/>
            </w:pPr>
            <w:r>
              <w:t>24853,00</w:t>
            </w:r>
          </w:p>
        </w:tc>
      </w:tr>
      <w:tr w:rsidR="00346E89" w14:paraId="75845161" w14:textId="77777777">
        <w:trPr>
          <w:trHeight w:val="51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A6A35" w14:textId="77777777" w:rsidR="00346E89" w:rsidRDefault="00FA71E4">
            <w:pPr>
              <w:jc w:val="center"/>
            </w:pPr>
            <w:r>
              <w:t>2018</w:t>
            </w:r>
            <w:r w:rsidR="00F311D5">
              <w:t xml:space="preserve"> (прогноз)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948BE" w14:textId="77777777" w:rsidR="00346E89" w:rsidRDefault="00FA71E4">
            <w:pPr>
              <w:jc w:val="center"/>
            </w:pPr>
            <w:r>
              <w:t>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8AAE4" w14:textId="77777777" w:rsidR="00346E89" w:rsidRDefault="008163B4">
            <w:pPr>
              <w:jc w:val="center"/>
            </w:pPr>
            <w:r>
              <w:t>95000,00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CF10" w14:textId="77777777" w:rsidR="00346E89" w:rsidRDefault="00915DB8">
            <w:pPr>
              <w:jc w:val="center"/>
            </w:pPr>
            <w:r>
              <w:t>24853,00</w:t>
            </w:r>
          </w:p>
        </w:tc>
      </w:tr>
      <w:tr w:rsidR="00346E89" w14:paraId="25349D52" w14:textId="77777777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2FBC2" w14:textId="77777777" w:rsidR="00346E89" w:rsidRDefault="00FA71E4">
            <w:pPr>
              <w:jc w:val="center"/>
            </w:pPr>
            <w:r>
              <w:t>2019</w:t>
            </w:r>
            <w:r w:rsidR="007B0A09">
              <w:t xml:space="preserve"> (пр</w:t>
            </w:r>
            <w:r w:rsidR="008163B4">
              <w:t>огноз)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135B0" w14:textId="77777777" w:rsidR="00346E89" w:rsidRDefault="00FA71E4">
            <w:pPr>
              <w:jc w:val="center"/>
            </w:pPr>
            <w:r>
              <w:t>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596A7" w14:textId="77777777" w:rsidR="00346E89" w:rsidRDefault="008163B4">
            <w:pPr>
              <w:jc w:val="center"/>
            </w:pPr>
            <w:r>
              <w:t>90000,00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45EF" w14:textId="77777777" w:rsidR="00346E89" w:rsidRDefault="00915DB8">
            <w:pPr>
              <w:jc w:val="center"/>
            </w:pPr>
            <w:r>
              <w:t>26144,00</w:t>
            </w:r>
          </w:p>
        </w:tc>
      </w:tr>
      <w:tr w:rsidR="00346E89" w14:paraId="36C2B048" w14:textId="77777777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40ECE" w14:textId="77777777" w:rsidR="00346E89" w:rsidRDefault="00FA71E4">
            <w:pPr>
              <w:jc w:val="center"/>
            </w:pPr>
            <w:r>
              <w:t>2020</w:t>
            </w:r>
            <w:r w:rsidR="008163B4">
              <w:t xml:space="preserve"> (прогноз)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8E1A1" w14:textId="77777777" w:rsidR="00346E89" w:rsidRDefault="00FA71E4">
            <w:pPr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4D3CD" w14:textId="77777777" w:rsidR="00346E89" w:rsidRDefault="008163B4">
            <w:pPr>
              <w:jc w:val="center"/>
            </w:pPr>
            <w:r>
              <w:t>55200,00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320A" w14:textId="77777777" w:rsidR="00346E89" w:rsidRDefault="00915DB8" w:rsidP="008163B4">
            <w:r>
              <w:t xml:space="preserve">                        47948,00</w:t>
            </w:r>
          </w:p>
        </w:tc>
      </w:tr>
      <w:tr w:rsidR="00346E89" w14:paraId="22BE8951" w14:textId="77777777">
        <w:trPr>
          <w:trHeight w:val="2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17D5D" w14:textId="77777777" w:rsidR="00346E89" w:rsidRDefault="00FA71E4">
            <w:pPr>
              <w:jc w:val="center"/>
            </w:pPr>
            <w:r>
              <w:t>2021</w:t>
            </w:r>
            <w:r w:rsidR="008163B4">
              <w:t xml:space="preserve"> (прогноз)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3565D" w14:textId="77777777" w:rsidR="00346E89" w:rsidRDefault="00FA71E4">
            <w:pPr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5181D" w14:textId="77777777" w:rsidR="00346E89" w:rsidRDefault="008163B4">
            <w:pPr>
              <w:jc w:val="center"/>
            </w:pPr>
            <w:r>
              <w:t>57000,00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BA6C" w14:textId="77777777" w:rsidR="00346E89" w:rsidRDefault="00915DB8">
            <w:pPr>
              <w:jc w:val="center"/>
            </w:pPr>
            <w:r>
              <w:t>55151,00</w:t>
            </w:r>
          </w:p>
        </w:tc>
      </w:tr>
    </w:tbl>
    <w:p w14:paraId="02A6B83A" w14:textId="77777777" w:rsidR="009C3CD9" w:rsidRDefault="00F311D5">
      <w:pPr>
        <w:ind w:right="-143" w:firstLine="567"/>
        <w:jc w:val="both"/>
      </w:pPr>
      <w:r>
        <w:fldChar w:fldCharType="end"/>
      </w:r>
      <w:bookmarkEnd w:id="5"/>
    </w:p>
    <w:p w14:paraId="50F64DB4" w14:textId="77777777" w:rsidR="00346E89" w:rsidRDefault="00F311D5">
      <w:pPr>
        <w:ind w:right="-143" w:firstLine="567"/>
        <w:jc w:val="both"/>
      </w:pPr>
      <w:r>
        <w:t>На основании вышеизложенного, принятие данного решения находится в компетенции</w:t>
      </w:r>
      <w:r w:rsidR="007B0A09">
        <w:t xml:space="preserve"> окружного</w:t>
      </w:r>
      <w:r>
        <w:t xml:space="preserve"> Совета депутатов муниципального образования «</w:t>
      </w:r>
      <w:r w:rsidR="007B0A09">
        <w:t>Зеленоград</w:t>
      </w:r>
      <w:r>
        <w:t>ский городской округ». Принятие предлагаемого уровня замены дотации на выравнивание бюджетной обеспеченности дополнительным нормативом от НДФЛ позволит бюджету муниципального образования получать относительно стабильную величину поступлений в виде отчислений от НДФЛ и дотации на выравнивание бюджетной обеспеченности</w:t>
      </w:r>
      <w:r w:rsidR="009C3CD9">
        <w:t>.</w:t>
      </w:r>
      <w:r>
        <w:t xml:space="preserve"> </w:t>
      </w:r>
    </w:p>
    <w:p w14:paraId="140FDAEC" w14:textId="77777777" w:rsidR="009C3CD9" w:rsidRDefault="009C3CD9">
      <w:pPr>
        <w:ind w:right="-143" w:firstLine="567"/>
        <w:jc w:val="both"/>
      </w:pPr>
    </w:p>
    <w:p w14:paraId="3F4E42C3" w14:textId="77777777" w:rsidR="009C3CD9" w:rsidRDefault="009C3CD9">
      <w:pPr>
        <w:ind w:right="-143" w:firstLine="567"/>
        <w:jc w:val="both"/>
        <w:rPr>
          <w:b/>
        </w:rPr>
      </w:pPr>
    </w:p>
    <w:p w14:paraId="38640111" w14:textId="77777777" w:rsidR="009C3CD9" w:rsidRDefault="009C3CD9">
      <w:pPr>
        <w:ind w:right="-143" w:firstLine="567"/>
        <w:jc w:val="both"/>
        <w:rPr>
          <w:b/>
        </w:rPr>
      </w:pPr>
    </w:p>
    <w:p w14:paraId="6F89B4ED" w14:textId="77777777" w:rsidR="00346E89" w:rsidRDefault="00F311D5">
      <w:pPr>
        <w:ind w:right="-143"/>
        <w:jc w:val="both"/>
        <w:outlineLvl w:val="0"/>
        <w:rPr>
          <w:b/>
        </w:rPr>
      </w:pPr>
      <w:r>
        <w:rPr>
          <w:b/>
        </w:rPr>
        <w:t>Предсе</w:t>
      </w:r>
      <w:r w:rsidR="007B0A09">
        <w:rPr>
          <w:b/>
        </w:rPr>
        <w:t>датель контрольно-счетной комиссии</w:t>
      </w:r>
    </w:p>
    <w:p w14:paraId="10EEDA71" w14:textId="77777777" w:rsidR="00346E89" w:rsidRDefault="00F311D5">
      <w:pPr>
        <w:ind w:right="-143"/>
        <w:jc w:val="both"/>
        <w:rPr>
          <w:b/>
        </w:rPr>
      </w:pPr>
      <w:r>
        <w:rPr>
          <w:b/>
        </w:rPr>
        <w:t xml:space="preserve">муниципального образования  </w:t>
      </w:r>
    </w:p>
    <w:p w14:paraId="363EDBB8" w14:textId="77777777" w:rsidR="00346E89" w:rsidRDefault="007B0A09">
      <w:pPr>
        <w:ind w:right="-143"/>
        <w:jc w:val="both"/>
      </w:pPr>
      <w:r>
        <w:rPr>
          <w:b/>
        </w:rPr>
        <w:t>«Зеленоград</w:t>
      </w:r>
      <w:r w:rsidR="00F311D5">
        <w:rPr>
          <w:b/>
        </w:rPr>
        <w:t xml:space="preserve">ский городской округ»         </w:t>
      </w:r>
      <w:r w:rsidR="00F311D5">
        <w:rPr>
          <w:b/>
        </w:rPr>
        <w:tab/>
      </w:r>
      <w:r w:rsidR="00F311D5">
        <w:rPr>
          <w:b/>
        </w:rPr>
        <w:tab/>
      </w:r>
      <w:r w:rsidR="009C3CD9">
        <w:rPr>
          <w:b/>
        </w:rPr>
        <w:t xml:space="preserve">           </w:t>
      </w:r>
      <w:r w:rsidR="00F311D5">
        <w:rPr>
          <w:b/>
        </w:rPr>
        <w:tab/>
      </w:r>
      <w:r w:rsidR="00F311D5">
        <w:rPr>
          <w:b/>
        </w:rPr>
        <w:tab/>
      </w:r>
      <w:r w:rsidR="00F311D5">
        <w:rPr>
          <w:b/>
        </w:rPr>
        <w:tab/>
      </w:r>
      <w:r>
        <w:rPr>
          <w:b/>
        </w:rPr>
        <w:t>Афанасьева И.С.</w:t>
      </w:r>
      <w:r w:rsidR="00F311D5">
        <w:rPr>
          <w:b/>
        </w:rPr>
        <w:t xml:space="preserve">                    </w:t>
      </w:r>
    </w:p>
    <w:sectPr w:rsidR="00346E89">
      <w:footerReference w:type="default" r:id="rId10"/>
      <w:pgSz w:w="11906" w:h="16838"/>
      <w:pgMar w:top="709" w:right="707" w:bottom="76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5F03D" w14:textId="77777777" w:rsidR="002039E9" w:rsidRDefault="002039E9">
      <w:r>
        <w:separator/>
      </w:r>
    </w:p>
  </w:endnote>
  <w:endnote w:type="continuationSeparator" w:id="0">
    <w:p w14:paraId="76075E0F" w14:textId="77777777" w:rsidR="002039E9" w:rsidRDefault="0020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;DejaVu Sans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CYR">
    <w:altName w:val="Arial"/>
    <w:charset w:val="CC"/>
    <w:family w:val="swiss"/>
    <w:pitch w:val="variable"/>
    <w:sig w:usb0="20007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C1669" w14:textId="77777777" w:rsidR="002039E9" w:rsidRDefault="002039E9">
    <w:pPr>
      <w:ind w:right="360"/>
    </w:pPr>
    <w:r>
      <w:rPr>
        <w:noProof/>
        <w:lang w:val="en-US" w:eastAsia="ru-RU"/>
      </w:rPr>
      <mc:AlternateContent>
        <mc:Choice Requires="wps">
          <w:drawing>
            <wp:anchor distT="0" distB="0" distL="0" distR="0" simplePos="0" relativeHeight="4" behindDoc="0" locked="0" layoutInCell="1" allowOverlap="1" wp14:anchorId="3D53BA84" wp14:editId="50271BF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768AD8C" w14:textId="77777777" w:rsidR="002039E9" w:rsidRDefault="002039E9"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73F1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346E89" w:rsidRDefault="00F311D5"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A2B5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4F102" w14:textId="77777777" w:rsidR="002039E9" w:rsidRDefault="002039E9">
      <w:r>
        <w:separator/>
      </w:r>
    </w:p>
  </w:footnote>
  <w:footnote w:type="continuationSeparator" w:id="0">
    <w:p w14:paraId="390E1E19" w14:textId="77777777" w:rsidR="002039E9" w:rsidRDefault="0020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92EC0"/>
    <w:multiLevelType w:val="multilevel"/>
    <w:tmpl w:val="7F766DF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89"/>
    <w:rsid w:val="000A2B5F"/>
    <w:rsid w:val="00133690"/>
    <w:rsid w:val="001A42CC"/>
    <w:rsid w:val="001A50AD"/>
    <w:rsid w:val="002039E9"/>
    <w:rsid w:val="00346E89"/>
    <w:rsid w:val="003D3E75"/>
    <w:rsid w:val="0042526A"/>
    <w:rsid w:val="00512630"/>
    <w:rsid w:val="007A0E34"/>
    <w:rsid w:val="007B0A09"/>
    <w:rsid w:val="008163B4"/>
    <w:rsid w:val="00877011"/>
    <w:rsid w:val="00915DB8"/>
    <w:rsid w:val="009C3CD9"/>
    <w:rsid w:val="009F0307"/>
    <w:rsid w:val="00B04168"/>
    <w:rsid w:val="00C73F19"/>
    <w:rsid w:val="00EB3AE3"/>
    <w:rsid w:val="00F311D5"/>
    <w:rsid w:val="00FA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A2D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;DejaVu Sans Light" w:hAnsi="Calibri Light;DejaVu Sans Light" w:cs="Calibri Light;DejaVu Sans Light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;DejaVu Sans Light" w:hAnsi="Calibri Light;DejaVu Sans Light" w:cs="Calibri Light;DejaVu Sans Light"/>
      <w:b/>
      <w:bCs/>
      <w:i/>
      <w:iCs/>
      <w:sz w:val="28"/>
      <w:szCs w:val="28"/>
      <w:lang w:val="en-US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4">
    <w:name w:val="WW8Num17z4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10">
    <w:name w:val="Основной шрифт1"/>
    <w:qFormat/>
  </w:style>
  <w:style w:type="character" w:customStyle="1" w:styleId="11">
    <w:name w:val="Заголовок 1 Знак"/>
    <w:qFormat/>
    <w:rPr>
      <w:rFonts w:ascii="Calibri Light;DejaVu Sans Light" w:eastAsia="Times New Roman" w:hAnsi="Calibri Light;DejaVu Sans Light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Calibri Light;DejaVu Sans Light" w:eastAsia="Times New Roman" w:hAnsi="Calibri Light;DejaVu Sans Light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qFormat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page number"/>
    <w:basedOn w:val="10"/>
  </w:style>
  <w:style w:type="character" w:customStyle="1" w:styleId="a4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a5">
    <w:name w:val="Текст сноски Знак"/>
    <w:qFormat/>
  </w:style>
  <w:style w:type="character" w:customStyle="1" w:styleId="FootnoteCharacters">
    <w:name w:val="Footnote Characters"/>
    <w:qFormat/>
    <w:rPr>
      <w:vertAlign w:val="superscript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Normal (Web)"/>
    <w:basedOn w:val="a"/>
    <w:qFormat/>
    <w:pPr>
      <w:spacing w:before="280" w:after="119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Pr>
      <w:rFonts w:ascii="Tahoma" w:hAnsi="Tahoma" w:cs="Tahoma"/>
      <w:sz w:val="16"/>
      <w:szCs w:val="16"/>
      <w:lang w:val="en-US"/>
    </w:rPr>
  </w:style>
  <w:style w:type="paragraph" w:styleId="ad">
    <w:name w:val="footnote text"/>
    <w:basedOn w:val="a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;DejaVu Sans Light" w:hAnsi="Calibri Light;DejaVu Sans Light" w:cs="Calibri Light;DejaVu Sans Light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;DejaVu Sans Light" w:hAnsi="Calibri Light;DejaVu Sans Light" w:cs="Calibri Light;DejaVu Sans Light"/>
      <w:b/>
      <w:bCs/>
      <w:i/>
      <w:iCs/>
      <w:sz w:val="28"/>
      <w:szCs w:val="28"/>
      <w:lang w:val="en-US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4">
    <w:name w:val="WW8Num17z4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10">
    <w:name w:val="Основной шрифт1"/>
    <w:qFormat/>
  </w:style>
  <w:style w:type="character" w:customStyle="1" w:styleId="11">
    <w:name w:val="Заголовок 1 Знак"/>
    <w:qFormat/>
    <w:rPr>
      <w:rFonts w:ascii="Calibri Light;DejaVu Sans Light" w:eastAsia="Times New Roman" w:hAnsi="Calibri Light;DejaVu Sans Light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Calibri Light;DejaVu Sans Light" w:eastAsia="Times New Roman" w:hAnsi="Calibri Light;DejaVu Sans Light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qFormat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page number"/>
    <w:basedOn w:val="10"/>
  </w:style>
  <w:style w:type="character" w:customStyle="1" w:styleId="a4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a5">
    <w:name w:val="Текст сноски Знак"/>
    <w:qFormat/>
  </w:style>
  <w:style w:type="character" w:customStyle="1" w:styleId="FootnoteCharacters">
    <w:name w:val="Footnote Characters"/>
    <w:qFormat/>
    <w:rPr>
      <w:vertAlign w:val="superscript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Normal (Web)"/>
    <w:basedOn w:val="a"/>
    <w:qFormat/>
    <w:pPr>
      <w:spacing w:before="280" w:after="119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Pr>
      <w:rFonts w:ascii="Tahoma" w:hAnsi="Tahoma" w:cs="Tahoma"/>
      <w:sz w:val="16"/>
      <w:szCs w:val="16"/>
      <w:lang w:val="en-US"/>
    </w:rPr>
  </w:style>
  <w:style w:type="paragraph" w:styleId="ad">
    <w:name w:val="footnote text"/>
    <w:basedOn w:val="a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minfin39.ru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1005</Words>
  <Characters>5735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Иришка</cp:lastModifiedBy>
  <cp:revision>2</cp:revision>
  <cp:lastPrinted>2018-10-18T10:15:00Z</cp:lastPrinted>
  <dcterms:created xsi:type="dcterms:W3CDTF">2018-10-18T10:18:00Z</dcterms:created>
  <dcterms:modified xsi:type="dcterms:W3CDTF">2018-10-18T10:18:00Z</dcterms:modified>
  <dc:language>en-US</dc:language>
</cp:coreProperties>
</file>